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12115800</wp:posOffset>
            </wp:positionV>
            <wp:extent cx="457200" cy="3048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师说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0"/>
          <w:sz w:val="28"/>
          <w:szCs w:val="28"/>
          <w:lang w:val="en-US" w:eastAsia="zh-CN" w:bidi="ar"/>
        </w:rPr>
        <w:t>1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lang w:val="en-US" w:eastAsia="zh-CN" w:bidi="ar"/>
        </w:rPr>
        <w:t xml:space="preserve">. 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下列加点字注音全部正确的一项是（      ）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sz w:val="28"/>
          <w:szCs w:val="28"/>
          <w:lang w:val="en-US"/>
        </w:rPr>
      </w:pP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A.</w:t>
      </w: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 xml:space="preserve"> 郯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子（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t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贻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í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解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惑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hu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ò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六艺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经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传（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chu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snapToGrid w:val="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sz w:val="28"/>
          <w:szCs w:val="28"/>
          <w:lang w:val="en-US"/>
        </w:rPr>
      </w:pP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B.</w:t>
      </w: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句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读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ò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聃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r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苌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弘（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拘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于时（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j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ū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snapToGrid w:val="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sz w:val="28"/>
          <w:szCs w:val="28"/>
          <w:lang w:val="en-US"/>
        </w:rPr>
      </w:pP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C.</w:t>
      </w: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阿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谀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ú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p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官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盛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授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之书（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ò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snapToGrid w:val="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kern w:val="0"/>
          <w:sz w:val="28"/>
          <w:szCs w:val="28"/>
          <w:lang w:val="en-US"/>
        </w:rPr>
      </w:pP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D.</w:t>
      </w: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谄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媚（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襄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xi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嗟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乎（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ē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或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否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焉（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f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ǒ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snapToGrid w:val="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 w:eastAsia="zh-CN" w:bidi="ar"/>
        </w:rPr>
        <w:t>2．下列词语书写完全正确的一项是（  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A．舟辑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骐骥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朽木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蛇鳝之穴     B．镂刻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筋骨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弩马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用心燥也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C．贵贱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解惑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句读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官盛近谀     D．苌弘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佳奖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贻送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耻学于师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 w:eastAsia="zh-CN" w:bidi="ar"/>
        </w:rPr>
        <w:t>3．对下列句中加点词语的解释，有误的一项是（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．彼童子之师，授之书而习其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句读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者句。读（</w:t>
      </w: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ò</w:t>
      </w: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u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）：古人指文辞休止和停顿处。文辞语意已尽处为</w:t>
      </w:r>
      <w:r>
        <w:rPr>
          <w:rFonts w:ascii="Times New Roman" w:eastAsia="宋体" w:hAnsi="Times New Roman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句</w:t>
      </w:r>
      <w:r>
        <w:rPr>
          <w:rFonts w:ascii="Times New Roman" w:eastAsia="宋体" w:hAnsi="Times New Roman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，未尽而需停顿的地方为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读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．不积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跬步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，无以至千里。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跬步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 xml:space="preserve">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，古代称跨出一脚为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，跨出两脚为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跬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，也被用于形容极近的距离、数量极少等。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士大夫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之族，曰师曰弟子云者。士大夫：是古代中国对社会上具有一定声望、地位的知识分子及官吏的统称。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六艺经传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皆通习之。六艺：指《诗》《书》《礼》《乐》《易》《春秋》六种经书。传</w:t>
      </w:r>
      <w:r>
        <w:rPr>
          <w:rFonts w:ascii="Times New Roman" w:eastAsia="宋体" w:hAnsi="Times New Roman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：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古代解释经书的著作。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 w:eastAsia="zh-CN" w:bidi="ar"/>
        </w:rPr>
        <w:t>4．下列各句文化常识的表述，不正确的一项是（  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A．韩愈，字退之，唐代河南河阳（今河南孟县）人，著名文学家、哲学家、古文运动的倡导者。因为昌黎（现河北省昌黎县）韩氏是望族，所以后人称韩愈为韩昌黎，后世又称他为韩文公。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B．韩愈和柳宗元一起倡导了古文运动。古文运动，实际是以复古为名的文风改革运动，主张学习先秦、两汉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言之有物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、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言贵创新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的优秀散文，坚决摒弃只讲形式不重内容华而不实的文风。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C．韩愈的散文，题材广泛，内容深刻，形式多样，语言质朴，气势雄壮，因此后世尊他为唐宋八大家（韩愈、柳宗元、范仲淹、苏询、苏轼、苏辙、曾巩、王安石）之首。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是一种议论文的文体，可以先叙后议，也可夹叙夹议。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相比，随便些。像《捕蛇者说》《马说》都属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一类文体。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，古义为陈述和解说，因而对这类文体，都可按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解说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的道理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来理解。《师说》意思是解说关于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从师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center"/>
        <w:rPr>
          <w:rFonts w:ascii="宋体" w:eastAsia="宋体" w:hAnsi="宋体" w:cs="宋体" w:hint="eastAsia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阅读下面的文言文，完成下面小题。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textAlignment w:val="center"/>
        <w:rPr>
          <w:rFonts w:ascii="华文楷体" w:eastAsia="华文楷体" w:hAnsi="华文楷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古之学者必有师。师者，所以传道受业解惑也。人非生而知之者，孰能无惑？惑而不从师，其为惑也，终不解矣。生乎吾前，其闻道也固先乎吾，吾从而师之；生乎吾后，其闻道也亦先乎吾，吾从而师之。吾师道也，夫庸知其年之先后生于吾乎？是故无贵无贱，无长无少，道之所存，师之所存也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textAlignment w:val="center"/>
        <w:rPr>
          <w:rFonts w:ascii="华文楷体" w:eastAsia="华文楷体" w:hAnsi="华文楷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嗟乎！师道之不传也久矣！欲人之无惑也难矣！古之圣人，其出人也远矣，犹且从师而问焉；今之众人，其下圣人也亦远矣，而耻学于师。是故圣益圣，愚益愚。圣人之所以为圣，愚人之所以为愚，其皆出于此乎？爱其子，择师而教之；于其身也，则耻师焉，惑矣。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u w:val="wave"/>
          <w:shd w:val="clear" w:color="auto" w:fill="FFFFFF"/>
          <w:lang w:val="en-US" w:eastAsia="zh-CN" w:bidi="ar"/>
        </w:rPr>
        <w:t>彼童子之师，授之书而习其句读者，非吾所谓传其道解其惑者也。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句读之不知，惑之不解，或师焉，或不焉，小学而大遗，吾未见其明也。巫医乐师百工之人，不耻相师。士大夫之族，曰师曰弟子云者，则群聚而笑之。问之，则曰：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彼与彼年相若也，道相似也。位卑则足羞，官盛则近谀。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呜呼！师道之不复可知矣。巫医乐师百工之人，君子不齿，今其智乃反不能及，其可怪也欤！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textAlignment w:val="center"/>
        <w:rPr>
          <w:rFonts w:ascii="华文楷体" w:eastAsia="华文楷体" w:hAnsi="华文楷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圣人无常师。孔子师郯子、苌弘、师襄、老聃。郯子之徒，其贤不及孔子。孔子曰：三人行，则必有我师。是故弟子不必不如师，师不必贤于弟子，闻道有先后，术业有专攻，如是而已。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textAlignment w:val="center"/>
        <w:rPr>
          <w:rFonts w:ascii="华文楷体" w:eastAsia="华文楷体" w:hAnsi="华文楷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李氏子蟠，年十七，好古文，六艺经传皆通习之，不拘于时，学于余。余嘉其能行古道，作师说以贻之。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righ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（选自韩愈《师说》）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5．下列句中加线的词解释不正确的一项是（</w:t>
      </w: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A．则耻师焉，</w:t>
      </w:r>
      <w:r>
        <w:rPr>
          <w:rFonts w:ascii="宋体" w:eastAsia="宋体" w:hAnsi="宋体" w:cs="Times New Roman" w:hint="eastAsia"/>
          <w:kern w:val="2"/>
          <w:sz w:val="28"/>
          <w:szCs w:val="28"/>
          <w:u w:val="none"/>
          <w:shd w:val="clear" w:color="auto" w:fill="FFFFFF"/>
          <w:em w:val="dot"/>
          <w:lang w:val="en-US" w:eastAsia="zh-CN" w:bidi="ar"/>
        </w:rPr>
        <w:t>惑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矣（疑惑）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B．吾</w:t>
      </w:r>
      <w:r>
        <w:rPr>
          <w:rFonts w:ascii="宋体" w:eastAsia="宋体" w:hAnsi="宋体" w:cs="Times New Roman" w:hint="eastAsia"/>
          <w:kern w:val="2"/>
          <w:sz w:val="28"/>
          <w:szCs w:val="28"/>
          <w:u w:val="none"/>
          <w:shd w:val="clear" w:color="auto" w:fill="FFFFFF"/>
          <w:em w:val="dot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道也（学习）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C．六艺经</w:t>
      </w:r>
      <w:r>
        <w:rPr>
          <w:rFonts w:ascii="宋体" w:eastAsia="宋体" w:hAnsi="宋体" w:cs="Times New Roman" w:hint="eastAsia"/>
          <w:kern w:val="2"/>
          <w:sz w:val="28"/>
          <w:szCs w:val="28"/>
          <w:u w:val="none"/>
          <w:shd w:val="clear" w:color="auto" w:fill="FFFFFF"/>
          <w:em w:val="dot"/>
          <w:lang w:val="en-US" w:eastAsia="zh-CN" w:bidi="ar"/>
        </w:rPr>
        <w:t>传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皆通习之（注释或解释经义的著作）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D．师者，</w:t>
      </w:r>
      <w:r>
        <w:rPr>
          <w:rFonts w:ascii="宋体" w:eastAsia="宋体" w:hAnsi="宋体" w:cs="Times New Roman" w:hint="eastAsia"/>
          <w:kern w:val="2"/>
          <w:sz w:val="28"/>
          <w:szCs w:val="28"/>
          <w:u w:val="none"/>
          <w:shd w:val="clear" w:color="auto" w:fill="FFFFFF"/>
          <w:em w:val="dot"/>
          <w:lang w:val="en-US" w:eastAsia="zh-CN" w:bidi="ar"/>
        </w:rPr>
        <w:t>所以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传道受业解惑也（用来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的）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6．下列句子中，不含通假字的一句是（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A．师者，所以传道受业解惑也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  B．或师焉，或不焉，小学而大遗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C．授之书而习其句读者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      D．君子生非异也，善假于物也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hd w:val="clear" w:color="auto" w:fill="FFFFFF"/>
        <w:spacing w:before="0" w:beforeAutospacing="0" w:after="0" w:afterAutospacing="0" w:line="360" w:lineRule="auto"/>
        <w:ind w:left="0" w:right="0" w:leftChars="0" w:rightChars="0"/>
        <w:jc w:val="left"/>
        <w:textAlignment w:val="center"/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7．下列各句中加点的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字的意义和用法，与其他三项不同的一项是（  ）</w:t>
      </w:r>
    </w:p>
    <w:p>
      <w:pPr>
        <w:rPr>
          <w:sz w:val="28"/>
          <w:szCs w:val="28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A．古之学者必有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B．惑而不从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</w:t>
      </w:r>
    </w:p>
    <w:p>
      <w:pPr>
        <w:rPr>
          <w:sz w:val="28"/>
          <w:szCs w:val="28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C．而耻学于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 xml:space="preserve">师       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D．吾从而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之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8．下列各组句子中，加点的词的意义和用法不相同的一组是（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其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闻道也固先乎吾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其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为惑也终不解矣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B．巫医乐师百工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人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郯子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徒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C．夫庸知其年之先后生于吾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其闻道也固先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吾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D．吾从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而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师之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择师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而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教之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9．下列各组句子中加点词语的解释，正确的一项是（</w:t>
      </w: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A．古之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学者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必有师     师：有学问的人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B．则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明而行无过矣   知 ：知识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C．今之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众人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，其下圣人也亦远矣    众人：很多人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D．师者，所以传道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受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业解惑也      受：同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，传授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10. 在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从师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的问题上，属于作者批评的对象的一项是 （      ）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①巫医乐师百工之人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②士大夫之族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③圣人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④君子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⑤郯子之徒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A.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 xml:space="preserve">①②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B.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 xml:space="preserve">②③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C.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②⑤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  D.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②④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 w:hint="eastAsia"/>
          <w:b/>
          <w:bCs w:val="0"/>
          <w:sz w:val="28"/>
          <w:szCs w:val="28"/>
          <w:shd w:val="clear" w:color="auto" w:fill="FFFFFF"/>
          <w:lang w:val="en-US" w:eastAsia="zh-CN"/>
        </w:rPr>
        <w:t>11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eastAsia="zh-CN"/>
        </w:rPr>
        <w:t>．下列对文中画波浪线部分的断句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  <w:t>,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eastAsia="zh-CN"/>
        </w:rPr>
        <w:t>正确的一项是（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  <w:t xml:space="preserve">    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eastAsia="zh-CN"/>
        </w:rPr>
        <w:t xml:space="preserve">） 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A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．彼童子之师授之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书而习其句读者非吾所谓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传其道解其惑者也。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B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．彼童子之师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授之书而习其句读者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非吾所谓传其道解其惑者也。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C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．彼童子之师授之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书而习其句读者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非吾所谓传其道解其惑者也。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D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．彼童子之师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授之书而习其句读者非吾所谓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传其道解其惑者也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 w:hint="eastAsia"/>
          <w:b/>
          <w:bCs w:val="0"/>
          <w:sz w:val="28"/>
          <w:szCs w:val="28"/>
          <w:shd w:val="clear" w:color="auto" w:fill="FFFFFF"/>
          <w:lang w:val="en-US" w:eastAsia="zh-CN"/>
        </w:rPr>
        <w:t>12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  <w:t>.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eastAsia="zh-CN"/>
        </w:rPr>
        <w:t>下列对原文有关内容的概括和分析，不正确的一项是 （　　　）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A.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本文的中心论点是“古之学者必有师”。第一段正面阐述了教师的作用、从师的必要性和择师的标准。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B.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第二段慨叹师道不传已久，运用对比的手法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,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把“古之圣人”从师而问与“今之众人”耻学于师，为子择师与自己不从师，巫医乐师百工之人与士大夫之族分别对比，批判了社会上轻视师道的不良风气。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C.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第三段以孔子从师的范例，进一步阐明教师的作用和“道之所存，师之所存”的道理。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D.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最后一段说明写作本文的缘起，这本属于附记性质，但作者赞扬李蟠“不拘于时”“能行古道”，又一次强调了他的观点。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6AF58D5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7573643"/>
    <w:rsid w:val="383B573A"/>
    <w:rsid w:val="3B955328"/>
    <w:rsid w:val="3D882AFD"/>
    <w:rsid w:val="3DA05553"/>
    <w:rsid w:val="41020072"/>
    <w:rsid w:val="51581F75"/>
    <w:rsid w:val="53937014"/>
    <w:rsid w:val="5C5872CD"/>
    <w:rsid w:val="5DAB5898"/>
    <w:rsid w:val="5E06429A"/>
    <w:rsid w:val="5F46063A"/>
    <w:rsid w:val="60C926DB"/>
    <w:rsid w:val="610C68D8"/>
    <w:rsid w:val="61EF5D52"/>
    <w:rsid w:val="6397290D"/>
    <w:rsid w:val="676F0150"/>
    <w:rsid w:val="7541206D"/>
    <w:rsid w:val="75E8126A"/>
    <w:rsid w:val="7BF662EE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3156</Words>
  <Characters>3230</Characters>
  <Application>Microsoft Office Word</Application>
  <DocSecurity>0</DocSecurity>
  <Lines>13</Lines>
  <Paragraphs>3</Paragraphs>
  <ScaleCrop>false</ScaleCrop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2024-09-05T03:07:43Z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