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10934700</wp:posOffset>
            </wp:positionV>
            <wp:extent cx="317500" cy="469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寡人之于国也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下列加点字读音全部正确的一项是（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曳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兵（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序（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狗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彘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数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用（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ē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饿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莩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pi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丧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死（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供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养（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ɡò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赈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济（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孝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悌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民（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白（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2.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关于《孟子》下列说法不当的一项是（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《孟子》与《论语》《大学》《中庸》并称儒家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四书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《孟子》是一部记录春秋末期思想家孟子言行的书，是儒家学派的经典著作之一。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《孟子》由孟轲及其弟子编成，内容涉及政治活动、政治学说以及哲学、伦理、教育思想。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多用比喻、对比度、排比手法，长于论辩是孟子散文的主要特色。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3.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下列句中加点词语的意思解释不正确的一项（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直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不百步耳，是亦走也（仅、只是）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弃甲曳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兵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而走（武器）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谷不可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食也（尽）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百亩之田，勿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夺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其时（争夺）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4.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下列加点词意思相同的一项是（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王好战，请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战喻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五十步笑百步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数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罟不入洿池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数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口之家，可以无饥矣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王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道之始也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然而不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王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者，未之有也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不违农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时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斧斤以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时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入山林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5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．选出没有通假字的一项（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．涂有饿莩而不知发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．则无望民之多于邻国也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．颁白者不负戴于道路矣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．弃甲曳兵而走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6.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下列各句中加点的词语与现代汉语用法相同的一项是（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养生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丧死无憾，王道之始也。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Times New Roman" w:hint="default"/>
          <w:color w:val="000000"/>
          <w:kern w:val="2"/>
          <w:sz w:val="21"/>
          <w:szCs w:val="22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兵刃既接弃甲曳兵而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五亩之宅，树之以桑，五十者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可以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衣帛矣。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Times New Roman" w:hint="default"/>
          <w:color w:val="000000"/>
          <w:kern w:val="2"/>
          <w:sz w:val="21"/>
          <w:szCs w:val="22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七十者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可以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食肉矣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7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．选出加点的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以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字，意义不同于其他三句的一项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．请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战喻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五十步笑百步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．斧斤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时入山林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．申之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孝悌之义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8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．加点词活用情况与其他各项不同的一项是（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．填然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鼓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之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树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之以桑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．五十者可以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衣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帛矣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庠序之教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9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．选出与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未之有也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句式相同的一项（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．时不我待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．兵不血刃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．莫衷一是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．自愧弗如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阅读下面的文言文，完成各小题。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梁惠王曰：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寡人之于国也，尽心焉耳矣。河内凶，则移其民于河东，移其粟于河内；河东凶亦然。察邻国之政，无如寡人之用心者。邻国之民不加少，寡人之民不加多，何也？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孟子对曰：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王好战，请以战喻。填然鼓之，兵刃既接，弃甲曳兵而走。或百步而后止，或五十步而后止。以五十步笑百步，则何如？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不可！直不百步耳，是亦走也。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王如知此，则无望民之多于邻国也。不违农时，谷不可胜食也；数（c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ù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）罟（g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ǔ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）不入洿（w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ū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）池，鱼鳖不可胜食也；斧斤以时入山林，材木不可胜用也。谷与鱼鳖不可胜食，材木不可胜用，是使民养生丧死无憾也。养生丧死无憾，王道之始也。五亩之宅，树之以桑，五十者可以衣帛矣。鸡豚狗彘之畜，无失其时，七十者可以食肉矣。百亩之田，勿夺其时，数口之家可以无饥矣；谨庠序之教，申之以孝悌之义，颁白者不负戴于道路矣。七十者衣帛食肉，黎民不饥不寒，然而不王者，未之有也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u w:val="wave"/>
          <w:shd w:val="clear" w:color="auto" w:fill="FFFFFF"/>
          <w:lang w:val="en-US" w:eastAsia="zh-CN" w:bidi="ar"/>
        </w:rPr>
        <w:t>狗彘食人食而不知检涂有饿莩而不知发人死则曰非我也岁也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是何异于刺人而杀之，曰：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非我也，兵也？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王无罪岁，斯天下之民至焉。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10.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下列对文中画波浪线部分的断句，正确的一项是（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而不知检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而不知检涂有饿莩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．狗彘食人食而不知检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．狗彘食人食而不知检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11.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下列分析不符合原文意思的一项（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．孟子提出发展生产的三条措施，认为发展生产，使百姓安居乐业，这是行王道的根本。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．孟子用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狗彘食人食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的事实深刻地揭示了当时社会的不平等。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．孟子用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刺人而杀之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归罪于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兵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的比喻，表明害民的是荒年。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．文章最后一句是说大王不要归咎于年成，而是要反省自己，革除虐政，施仁政，行王道，那么天下的百姓都会来归顺了。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12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．文中孟子提出了哪些发展生产的措施？（用原文回答）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13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．据文意，在孟子看来，行王道必须具备哪两个条件？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14.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将下面的句子翻译成现代汉语。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或百步而后止，或五十步而后止。以五十步笑百步，则何如？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 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51581F75"/>
    <w:rsid w:val="52FD30C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4</Pages>
  <Words>2422</Words>
  <Characters>3127</Characters>
  <Application>Microsoft Office Word</Application>
  <DocSecurity>0</DocSecurity>
  <Lines>13</Lines>
  <Paragraphs>3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2024-08-28T09:25:15Z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